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3" w:rsidRDefault="00CA5E53" w:rsidP="00EC275B">
      <w:pPr>
        <w:jc w:val="right"/>
        <w:rPr>
          <w:bCs/>
          <w:sz w:val="20"/>
        </w:rPr>
      </w:pPr>
    </w:p>
    <w:p w:rsidR="00404D55" w:rsidRDefault="00404D55" w:rsidP="00DF6984">
      <w:pPr>
        <w:jc w:val="center"/>
        <w:rPr>
          <w:b/>
          <w:bCs/>
          <w:sz w:val="22"/>
        </w:rPr>
      </w:pPr>
    </w:p>
    <w:p w:rsidR="00E22E1F" w:rsidRPr="00A4126B" w:rsidRDefault="00E22E1F" w:rsidP="00ED449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:rsidR="00E22E1F" w:rsidRDefault="00E22E1F" w:rsidP="00E22E1F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:rsidR="003841E9" w:rsidRPr="00377DF5" w:rsidRDefault="003841E9" w:rsidP="00E22E1F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:rsidR="00DF6984" w:rsidRPr="00CD0064" w:rsidRDefault="00CE7767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 (daļa)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:rsidR="00DF6984" w:rsidRPr="00CD0064" w:rsidRDefault="00F13B2B" w:rsidP="00F13B2B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Bruņinieku iela 72B</w:t>
            </w:r>
            <w:r w:rsidR="00B76D9A">
              <w:rPr>
                <w:sz w:val="18"/>
                <w:szCs w:val="18"/>
                <w:lang w:eastAsia="ar-SA"/>
              </w:rPr>
              <w:t>,</w:t>
            </w:r>
            <w:r w:rsidR="00E22E1F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Rīga,</w:t>
            </w:r>
            <w:r w:rsidR="00B76D9A">
              <w:rPr>
                <w:sz w:val="18"/>
                <w:szCs w:val="18"/>
                <w:lang w:eastAsia="ar-SA"/>
              </w:rPr>
              <w:t xml:space="preserve"> LV-</w:t>
            </w:r>
            <w:r>
              <w:rPr>
                <w:sz w:val="18"/>
                <w:szCs w:val="18"/>
                <w:lang w:eastAsia="ar-SA"/>
              </w:rPr>
              <w:t>1009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:rsidR="00DF6984" w:rsidRPr="00F85D3D" w:rsidRDefault="00F13B2B" w:rsidP="0087339C">
            <w:pPr>
              <w:jc w:val="both"/>
              <w:rPr>
                <w:sz w:val="18"/>
                <w:szCs w:val="18"/>
              </w:rPr>
            </w:pPr>
            <w:r w:rsidRPr="00F13B2B">
              <w:rPr>
                <w:bCs/>
                <w:color w:val="000000"/>
                <w:sz w:val="18"/>
                <w:szCs w:val="18"/>
              </w:rPr>
              <w:t>01005320006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:rsidR="001C2769" w:rsidRPr="00361C69" w:rsidRDefault="00E22E1F" w:rsidP="002E4DF9">
            <w:pPr>
              <w:jc w:val="both"/>
              <w:rPr>
                <w:sz w:val="18"/>
                <w:szCs w:val="18"/>
              </w:rPr>
            </w:pPr>
            <w:r w:rsidRPr="00E22E1F">
              <w:rPr>
                <w:bCs/>
                <w:sz w:val="18"/>
                <w:szCs w:val="18"/>
              </w:rPr>
              <w:t>01000320001005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:rsidR="00DF6984" w:rsidRPr="00A8559A" w:rsidRDefault="00F85D3D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F6984" w:rsidRPr="00404D55" w:rsidTr="00CD0064">
        <w:trPr>
          <w:trHeight w:val="50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:rsidR="00DF6984" w:rsidRPr="00A8559A" w:rsidRDefault="00F829AB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karsto dzērienu tirdzniecības automāta izvietošana</w:t>
            </w:r>
            <w:r w:rsidR="00815EED" w:rsidRPr="00A8559A">
              <w:rPr>
                <w:sz w:val="18"/>
                <w:szCs w:val="18"/>
              </w:rPr>
              <w:t xml:space="preserve"> 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:rsidR="00DF6984" w:rsidRPr="00404D55" w:rsidRDefault="00E22E1F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24,79</w:t>
            </w:r>
          </w:p>
        </w:tc>
      </w:tr>
      <w:tr w:rsidR="00DF6984" w:rsidRPr="00404D55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DB5B9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:rsidR="00DF6984" w:rsidRPr="00C5771A" w:rsidRDefault="00C5771A" w:rsidP="002E4DF9">
            <w:p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1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B76D9A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C31D81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 xml:space="preserve">Informācija par </w:t>
            </w:r>
            <w:r w:rsidR="00C31D81">
              <w:rPr>
                <w:b/>
                <w:bCs/>
                <w:color w:val="5A0000"/>
                <w:sz w:val="18"/>
                <w:szCs w:val="20"/>
              </w:rPr>
              <w:t>pieteikšanos</w:t>
            </w:r>
            <w:r w:rsidRPr="00404D55">
              <w:rPr>
                <w:b/>
                <w:bCs/>
                <w:color w:val="5A0000"/>
                <w:sz w:val="18"/>
                <w:szCs w:val="20"/>
              </w:rPr>
              <w:t>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3841E9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pieteikumu iesniegšanas vieta/atvēršanas dat. (dd.mm.gggg.), laiks, vieta</w:t>
            </w:r>
          </w:p>
        </w:tc>
        <w:tc>
          <w:tcPr>
            <w:tcW w:w="4097" w:type="dxa"/>
          </w:tcPr>
          <w:p w:rsidR="00DF6984" w:rsidRPr="00404D55" w:rsidRDefault="00E22E1F" w:rsidP="00B76D9A">
            <w:pPr>
              <w:jc w:val="both"/>
              <w:rPr>
                <w:sz w:val="18"/>
                <w:szCs w:val="20"/>
              </w:rPr>
            </w:pPr>
            <w:r w:rsidRPr="00E22E1F">
              <w:rPr>
                <w:sz w:val="18"/>
                <w:szCs w:val="18"/>
              </w:rPr>
              <w:t>Pieteik</w:t>
            </w:r>
            <w:r>
              <w:rPr>
                <w:sz w:val="18"/>
                <w:szCs w:val="18"/>
              </w:rPr>
              <w:t>umu, iepriekš piezvanot 67829671</w:t>
            </w:r>
            <w:r w:rsidRPr="00E22E1F">
              <w:rPr>
                <w:sz w:val="18"/>
                <w:szCs w:val="18"/>
              </w:rPr>
              <w:t xml:space="preserve">, iesniegt personīgi vai sūtot pa pastu Nodrošinājuma valsts aģentūrā </w:t>
            </w:r>
            <w:r w:rsidR="009276D0">
              <w:rPr>
                <w:sz w:val="18"/>
                <w:szCs w:val="18"/>
              </w:rPr>
              <w:t>Ezermalas ielā 10B, Rīgā līdz 21</w:t>
            </w:r>
            <w:r>
              <w:rPr>
                <w:sz w:val="18"/>
                <w:szCs w:val="18"/>
              </w:rPr>
              <w:t>.05</w:t>
            </w:r>
            <w:r w:rsidRPr="00E22E1F">
              <w:rPr>
                <w:sz w:val="18"/>
                <w:szCs w:val="18"/>
              </w:rPr>
              <w:t xml:space="preserve">.2019. plkst.12.00. Sūtot pieteikumu pa pastu, pretendents nodrošina </w:t>
            </w:r>
            <w:r w:rsidR="009276D0">
              <w:rPr>
                <w:sz w:val="18"/>
                <w:szCs w:val="18"/>
              </w:rPr>
              <w:t>pieteikuma saņemšanu līdz 21</w:t>
            </w:r>
            <w:r>
              <w:rPr>
                <w:sz w:val="18"/>
                <w:szCs w:val="18"/>
              </w:rPr>
              <w:t>.05</w:t>
            </w:r>
            <w:r w:rsidRPr="00E22E1F">
              <w:rPr>
                <w:sz w:val="18"/>
                <w:szCs w:val="18"/>
              </w:rPr>
              <w:t>.20</w:t>
            </w:r>
            <w:r w:rsidR="009276D0">
              <w:rPr>
                <w:sz w:val="18"/>
                <w:szCs w:val="18"/>
              </w:rPr>
              <w:t>19. plkst.12.00. Atvēršana 21</w:t>
            </w:r>
            <w:r>
              <w:rPr>
                <w:sz w:val="18"/>
                <w:szCs w:val="18"/>
              </w:rPr>
              <w:t>.05</w:t>
            </w:r>
            <w:r w:rsidRPr="00E22E1F">
              <w:rPr>
                <w:sz w:val="18"/>
                <w:szCs w:val="18"/>
              </w:rPr>
              <w:t>.2019. plkst. 14.00 Ezermalas ielā 10B, Rīgā.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5534BA" w:rsidRPr="00404D55" w:rsidRDefault="00C31D81" w:rsidP="00C31D8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:rsidR="00DF6984" w:rsidRPr="00027AF0" w:rsidRDefault="00DF6984" w:rsidP="00F47775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027AF0" w:rsidRPr="00027AF0">
              <w:rPr>
                <w:bCs/>
                <w:sz w:val="18"/>
                <w:szCs w:val="18"/>
                <w:lang w:val="en-GB"/>
              </w:rPr>
              <w:t>29782113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:rsidR="00DF6984" w:rsidRPr="00404D55" w:rsidRDefault="00DF6984" w:rsidP="004B4666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4B4666" w:rsidRPr="00404D55">
              <w:rPr>
                <w:sz w:val="18"/>
                <w:szCs w:val="20"/>
              </w:rPr>
              <w:t>Nr.90009112024</w:t>
            </w:r>
            <w:r w:rsidR="004B4666">
              <w:rPr>
                <w:sz w:val="18"/>
                <w:szCs w:val="20"/>
              </w:rPr>
              <w:t xml:space="preserve">, </w:t>
            </w:r>
            <w:r w:rsidR="00E441A8" w:rsidRPr="00404D55">
              <w:rPr>
                <w:sz w:val="18"/>
                <w:szCs w:val="20"/>
              </w:rPr>
              <w:t>Čiekurkalna 1.līnija 1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612B78" w:rsidRPr="00404D55">
              <w:rPr>
                <w:sz w:val="18"/>
                <w:szCs w:val="20"/>
              </w:rPr>
              <w:t xml:space="preserve">Rīga 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:rsidR="004B603B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Nodrošinājuma valsts aģentūras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</w:t>
            </w:r>
            <w:r w:rsidR="00027AF0">
              <w:rPr>
                <w:sz w:val="18"/>
                <w:szCs w:val="18"/>
              </w:rPr>
              <w:t>Rīgas un Zemgales daļas namu pārzine</w:t>
            </w:r>
            <w:r w:rsidRPr="00CA5E53">
              <w:rPr>
                <w:sz w:val="18"/>
                <w:szCs w:val="18"/>
              </w:rPr>
              <w:t xml:space="preserve"> </w:t>
            </w:r>
            <w:r w:rsidR="00027AF0">
              <w:rPr>
                <w:sz w:val="18"/>
                <w:szCs w:val="18"/>
              </w:rPr>
              <w:t>Zofija Ļitvinova</w:t>
            </w:r>
            <w:r w:rsidRPr="00CA5E53">
              <w:rPr>
                <w:sz w:val="18"/>
                <w:szCs w:val="18"/>
              </w:rPr>
              <w:t xml:space="preserve">, tālrunis: </w:t>
            </w:r>
            <w:r w:rsidR="00027AF0" w:rsidRPr="00027AF0">
              <w:rPr>
                <w:sz w:val="18"/>
                <w:szCs w:val="18"/>
              </w:rPr>
              <w:t>29782113</w:t>
            </w:r>
            <w:r w:rsidRPr="00CA5E53">
              <w:rPr>
                <w:sz w:val="18"/>
                <w:szCs w:val="18"/>
              </w:rPr>
              <w:t>,</w:t>
            </w:r>
          </w:p>
          <w:p w:rsidR="002E4DF9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6" w:history="1">
              <w:r w:rsidR="004A2CED" w:rsidRPr="00D442FA">
                <w:rPr>
                  <w:rStyle w:val="Hyperlink"/>
                  <w:sz w:val="18"/>
                  <w:szCs w:val="18"/>
                </w:rPr>
                <w:t>zofija.litvinova@agentura.iem.gov.lv</w:t>
              </w:r>
            </w:hyperlink>
          </w:p>
          <w:bookmarkEnd w:id="0"/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Apsaimniekošanas un uzskaites nodaļas vecākā referente </w:t>
            </w:r>
            <w:r w:rsidR="004A2CED">
              <w:rPr>
                <w:sz w:val="18"/>
                <w:szCs w:val="18"/>
              </w:rPr>
              <w:t>Jolanta Kalneja</w:t>
            </w:r>
            <w:r w:rsidRPr="00CA5E53">
              <w:rPr>
                <w:sz w:val="18"/>
                <w:szCs w:val="18"/>
              </w:rPr>
              <w:t xml:space="preserve">, tālrunis: </w:t>
            </w:r>
            <w:r w:rsidR="004A2CED" w:rsidRPr="004A2CED">
              <w:rPr>
                <w:sz w:val="18"/>
                <w:szCs w:val="18"/>
              </w:rPr>
              <w:t>67829671</w:t>
            </w:r>
            <w:r w:rsidRPr="00CA5E53">
              <w:rPr>
                <w:sz w:val="18"/>
                <w:szCs w:val="18"/>
              </w:rPr>
              <w:t>,</w:t>
            </w:r>
          </w:p>
          <w:p w:rsidR="004B603B" w:rsidRPr="002E4DF9" w:rsidRDefault="004B603B" w:rsidP="004A2CED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7" w:history="1">
              <w:r w:rsidR="00FB61BF" w:rsidRPr="00D442FA">
                <w:rPr>
                  <w:rStyle w:val="Hyperlink"/>
                  <w:sz w:val="18"/>
                  <w:szCs w:val="18"/>
                </w:rPr>
                <w:t>jolanta.kalneja@agentura.iem.gov.lv</w:t>
              </w:r>
            </w:hyperlink>
          </w:p>
        </w:tc>
      </w:tr>
    </w:tbl>
    <w:p w:rsidR="00404D55" w:rsidRDefault="00404D55" w:rsidP="00DF6984">
      <w:pPr>
        <w:rPr>
          <w:sz w:val="18"/>
          <w:szCs w:val="20"/>
        </w:rPr>
      </w:pPr>
    </w:p>
    <w:p w:rsidR="00E44594" w:rsidRPr="00404D55" w:rsidRDefault="00DF6984" w:rsidP="00DF6984">
      <w:pPr>
        <w:rPr>
          <w:sz w:val="22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4"/>
    <w:rsid w:val="00007D7D"/>
    <w:rsid w:val="00027AF0"/>
    <w:rsid w:val="00092613"/>
    <w:rsid w:val="00112BC9"/>
    <w:rsid w:val="001A34B0"/>
    <w:rsid w:val="001C2769"/>
    <w:rsid w:val="001D7B02"/>
    <w:rsid w:val="00225354"/>
    <w:rsid w:val="0024534D"/>
    <w:rsid w:val="00297506"/>
    <w:rsid w:val="002E4DF9"/>
    <w:rsid w:val="00312374"/>
    <w:rsid w:val="00361C69"/>
    <w:rsid w:val="00373CDE"/>
    <w:rsid w:val="003841E9"/>
    <w:rsid w:val="003E1C86"/>
    <w:rsid w:val="003E20C7"/>
    <w:rsid w:val="00404D55"/>
    <w:rsid w:val="00414214"/>
    <w:rsid w:val="0044744F"/>
    <w:rsid w:val="004A2CED"/>
    <w:rsid w:val="004B4666"/>
    <w:rsid w:val="004B49CB"/>
    <w:rsid w:val="004B603B"/>
    <w:rsid w:val="004D6C94"/>
    <w:rsid w:val="005534BA"/>
    <w:rsid w:val="00554D99"/>
    <w:rsid w:val="00612B78"/>
    <w:rsid w:val="006232C4"/>
    <w:rsid w:val="00651805"/>
    <w:rsid w:val="006A7091"/>
    <w:rsid w:val="006B6B4D"/>
    <w:rsid w:val="006C12BF"/>
    <w:rsid w:val="006C23F3"/>
    <w:rsid w:val="006E6788"/>
    <w:rsid w:val="00781DDE"/>
    <w:rsid w:val="007C535C"/>
    <w:rsid w:val="007F71B2"/>
    <w:rsid w:val="008015E7"/>
    <w:rsid w:val="00815EED"/>
    <w:rsid w:val="00830E9F"/>
    <w:rsid w:val="0087339C"/>
    <w:rsid w:val="00884FC0"/>
    <w:rsid w:val="008977F4"/>
    <w:rsid w:val="009276D0"/>
    <w:rsid w:val="009B753A"/>
    <w:rsid w:val="009C70CB"/>
    <w:rsid w:val="009C76A2"/>
    <w:rsid w:val="00A177B1"/>
    <w:rsid w:val="00A72C1E"/>
    <w:rsid w:val="00A8559A"/>
    <w:rsid w:val="00A933EA"/>
    <w:rsid w:val="00AB63EE"/>
    <w:rsid w:val="00B03C11"/>
    <w:rsid w:val="00B57D34"/>
    <w:rsid w:val="00B76D9A"/>
    <w:rsid w:val="00C05B3E"/>
    <w:rsid w:val="00C2013A"/>
    <w:rsid w:val="00C31D81"/>
    <w:rsid w:val="00C5771A"/>
    <w:rsid w:val="00CA5E53"/>
    <w:rsid w:val="00CD0064"/>
    <w:rsid w:val="00CE7767"/>
    <w:rsid w:val="00D20DBE"/>
    <w:rsid w:val="00D34362"/>
    <w:rsid w:val="00D60572"/>
    <w:rsid w:val="00D77C1E"/>
    <w:rsid w:val="00D8007C"/>
    <w:rsid w:val="00D80ED4"/>
    <w:rsid w:val="00DA58A9"/>
    <w:rsid w:val="00DB54FA"/>
    <w:rsid w:val="00DB5B93"/>
    <w:rsid w:val="00DF5C6F"/>
    <w:rsid w:val="00DF6984"/>
    <w:rsid w:val="00E22E1F"/>
    <w:rsid w:val="00E441A8"/>
    <w:rsid w:val="00E44594"/>
    <w:rsid w:val="00E96BF9"/>
    <w:rsid w:val="00EC275B"/>
    <w:rsid w:val="00EE087E"/>
    <w:rsid w:val="00F13B2B"/>
    <w:rsid w:val="00F47775"/>
    <w:rsid w:val="00F829AB"/>
    <w:rsid w:val="00F85D3D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lanta.kalneja@agentura.i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fija.litvinova@agentura.ie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6</cp:revision>
  <cp:lastPrinted>2019-05-13T06:18:00Z</cp:lastPrinted>
  <dcterms:created xsi:type="dcterms:W3CDTF">2019-03-14T12:13:00Z</dcterms:created>
  <dcterms:modified xsi:type="dcterms:W3CDTF">2019-05-13T10:32:00Z</dcterms:modified>
</cp:coreProperties>
</file>